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78738" w14:textId="77777777" w:rsidR="002D4518" w:rsidRPr="003E0949" w:rsidRDefault="00884C0E" w:rsidP="003E0949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3E0949">
        <w:rPr>
          <w:rFonts w:ascii="黑体" w:eastAsia="黑体" w:hAnsi="黑体" w:cs="黑体" w:hint="eastAsia"/>
          <w:sz w:val="32"/>
          <w:szCs w:val="32"/>
          <w:lang w:val="en"/>
        </w:rPr>
        <w:t>附件</w:t>
      </w:r>
      <w:r w:rsidRPr="003E0949">
        <w:rPr>
          <w:rFonts w:ascii="黑体" w:eastAsia="黑体" w:hAnsi="黑体" w:cs="黑体"/>
          <w:sz w:val="32"/>
          <w:szCs w:val="32"/>
        </w:rPr>
        <w:t>2</w:t>
      </w:r>
    </w:p>
    <w:p w14:paraId="1B0B1449" w14:textId="77777777" w:rsidR="002D4518" w:rsidRDefault="002D451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315FD0E" w14:textId="77777777" w:rsidR="002D4518" w:rsidRDefault="00884C0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《北京市促进环境社会治理（</w:t>
      </w:r>
      <w:r>
        <w:rPr>
          <w:rFonts w:ascii="方正小标宋简体" w:eastAsia="方正小标宋简体"/>
          <w:sz w:val="44"/>
          <w:szCs w:val="44"/>
          <w:lang w:val="en"/>
        </w:rPr>
        <w:t>ESG</w:t>
      </w:r>
      <w:r>
        <w:rPr>
          <w:rFonts w:ascii="方正小标宋简体" w:eastAsia="方正小标宋简体" w:hint="eastAsia"/>
          <w:sz w:val="44"/>
          <w:szCs w:val="44"/>
        </w:rPr>
        <w:t>）体系高质量发展实施方案（征求意见稿）》</w:t>
      </w:r>
    </w:p>
    <w:p w14:paraId="4D99AEF8" w14:textId="77777777" w:rsidR="002D4518" w:rsidRDefault="00884C0E">
      <w:pPr>
        <w:spacing w:line="560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的起草说明</w:t>
      </w:r>
    </w:p>
    <w:p w14:paraId="1BDA325E" w14:textId="77777777" w:rsidR="002D4518" w:rsidRDefault="002D4518"/>
    <w:p w14:paraId="1CCB048F" w14:textId="77777777" w:rsidR="002D4518" w:rsidRDefault="002D4518"/>
    <w:p w14:paraId="337AB592" w14:textId="77777777" w:rsidR="002D4518" w:rsidRDefault="00884C0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一、起草背景</w:t>
      </w:r>
    </w:p>
    <w:p w14:paraId="059470CB" w14:textId="77777777" w:rsidR="002D4518" w:rsidRDefault="00884C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环境社会治理（ESG）</w:t>
      </w:r>
      <w:r>
        <w:rPr>
          <w:rFonts w:ascii="仿宋_GB2312" w:eastAsia="仿宋_GB2312" w:hAnsi="黑体" w:hint="eastAsia"/>
          <w:sz w:val="32"/>
          <w:szCs w:val="32"/>
        </w:rPr>
        <w:t>是一种充分关注环境(Environmental)、</w:t>
      </w:r>
      <w:r>
        <w:rPr>
          <w:rFonts w:ascii="仿宋_GB2312" w:eastAsia="仿宋_GB2312" w:hint="eastAsia"/>
          <w:sz w:val="32"/>
          <w:szCs w:val="32"/>
        </w:rPr>
        <w:t>社会</w:t>
      </w:r>
      <w:r>
        <w:rPr>
          <w:rFonts w:ascii="仿宋_GB2312" w:eastAsia="仿宋_GB2312" w:hAnsi="黑体" w:hint="eastAsia"/>
          <w:sz w:val="32"/>
          <w:szCs w:val="32"/>
        </w:rPr>
        <w:t>(Social)和治理(Governance)等非财务因素的企业评级思路和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可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持续投资实践，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推动企业从单一追求经济利益到追求经济、社会、环境综合价值最大化，寻求可持续发展。</w:t>
      </w:r>
      <w:r>
        <w:rPr>
          <w:rFonts w:ascii="仿宋_GB2312" w:eastAsia="仿宋_GB2312" w:hAnsi="黑体" w:cs="Times New Roman" w:hint="eastAsia"/>
          <w:sz w:val="32"/>
          <w:szCs w:val="32"/>
        </w:rPr>
        <w:t>加强ESG体系建设对推动政府和市场形成合力</w:t>
      </w:r>
      <w:r>
        <w:rPr>
          <w:rFonts w:ascii="仿宋_GB2312" w:eastAsia="仿宋_GB2312" w:hAnsi="黑体" w:cs="Times New Roman"/>
          <w:sz w:val="32"/>
          <w:szCs w:val="32"/>
          <w:lang w:val="en"/>
        </w:rPr>
        <w:t>,</w:t>
      </w:r>
      <w:r>
        <w:rPr>
          <w:rFonts w:ascii="仿宋_GB2312" w:eastAsia="仿宋_GB2312" w:hAnsi="黑体" w:cs="Times New Roman" w:hint="eastAsia"/>
          <w:sz w:val="32"/>
          <w:szCs w:val="32"/>
        </w:rPr>
        <w:t>支撑首都高质量发展</w:t>
      </w:r>
      <w:r>
        <w:rPr>
          <w:rFonts w:ascii="仿宋_GB2312" w:eastAsia="仿宋_GB2312" w:hint="eastAsia"/>
          <w:sz w:val="32"/>
          <w:szCs w:val="32"/>
        </w:rPr>
        <w:t>具有重要意义。</w:t>
      </w:r>
    </w:p>
    <w:p w14:paraId="2AB7CB8D" w14:textId="77777777" w:rsidR="002D4518" w:rsidRDefault="00884C0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二、起草过程</w:t>
      </w:r>
    </w:p>
    <w:p w14:paraId="6808B5B7" w14:textId="77777777" w:rsidR="002D4518" w:rsidRDefault="00884C0E">
      <w:pPr>
        <w:spacing w:line="56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经广泛调研，</w:t>
      </w:r>
      <w:r>
        <w:rPr>
          <w:rFonts w:ascii="仿宋_GB2312" w:eastAsia="仿宋_GB2312" w:hAnsi="黑体" w:cs="Times New Roman"/>
          <w:sz w:val="32"/>
          <w:szCs w:val="32"/>
        </w:rPr>
        <w:t>充分</w:t>
      </w:r>
      <w:r>
        <w:rPr>
          <w:rFonts w:ascii="仿宋_GB2312" w:eastAsia="仿宋_GB2312" w:hAnsi="黑体" w:cs="Times New Roman" w:hint="eastAsia"/>
          <w:sz w:val="32"/>
          <w:szCs w:val="32"/>
        </w:rPr>
        <w:t>听取并吸纳</w:t>
      </w:r>
      <w:r>
        <w:rPr>
          <w:rFonts w:ascii="仿宋_GB2312" w:eastAsia="仿宋_GB2312" w:cs="仿宋_GB2312" w:hint="eastAsia"/>
          <w:sz w:val="32"/>
          <w:szCs w:val="32"/>
        </w:rPr>
        <w:t>专家学者、行业企业代表</w:t>
      </w:r>
      <w:r>
        <w:rPr>
          <w:rFonts w:ascii="仿宋_GB2312" w:eastAsia="仿宋_GB2312" w:hAnsi="黑体" w:cs="Times New Roman" w:hint="eastAsia"/>
          <w:sz w:val="32"/>
          <w:szCs w:val="32"/>
        </w:rPr>
        <w:t>的</w:t>
      </w:r>
      <w:r>
        <w:rPr>
          <w:rFonts w:ascii="仿宋_GB2312" w:eastAsia="仿宋_GB2312" w:hAnsi="黑体" w:cs="Times New Roman"/>
          <w:sz w:val="32"/>
          <w:szCs w:val="32"/>
        </w:rPr>
        <w:t>意见建议</w:t>
      </w:r>
      <w:r>
        <w:rPr>
          <w:rFonts w:ascii="仿宋_GB2312" w:eastAsia="仿宋_GB2312" w:hAnsi="黑体" w:cs="Times New Roman" w:hint="eastAsia"/>
          <w:sz w:val="32"/>
          <w:szCs w:val="32"/>
        </w:rPr>
        <w:t>，市发展改革委研究形成了《北京市促进环境社会治理（ESG）体系高质量发展实施方案》初稿，</w:t>
      </w:r>
      <w:r>
        <w:rPr>
          <w:rFonts w:ascii="仿宋_GB2312" w:eastAsia="仿宋_GB2312" w:hAnsi="黑体" w:cs="Times New Roman"/>
          <w:sz w:val="32"/>
          <w:szCs w:val="32"/>
        </w:rPr>
        <w:t>并</w:t>
      </w:r>
      <w:r>
        <w:rPr>
          <w:rFonts w:ascii="仿宋_GB2312" w:eastAsia="仿宋_GB2312" w:hAnsi="黑体" w:cs="Times New Roman" w:hint="eastAsia"/>
          <w:sz w:val="32"/>
          <w:szCs w:val="32"/>
        </w:rPr>
        <w:t>征求了各区和相关部门的意见，</w:t>
      </w:r>
      <w:r>
        <w:rPr>
          <w:rFonts w:ascii="仿宋_GB2312" w:eastAsia="仿宋_GB2312" w:hAnsi="黑体" w:cs="Times New Roman"/>
          <w:sz w:val="32"/>
          <w:szCs w:val="32"/>
        </w:rPr>
        <w:t>修改完善后形成</w:t>
      </w:r>
      <w:r>
        <w:rPr>
          <w:rFonts w:ascii="仿宋_GB2312" w:eastAsia="仿宋_GB2312" w:hAnsi="黑体" w:cs="Times New Roman" w:hint="eastAsia"/>
          <w:sz w:val="32"/>
          <w:szCs w:val="32"/>
        </w:rPr>
        <w:t>《北京市促进环境社会治理（ESG）体系高质量发展实施方案（</w:t>
      </w:r>
      <w:r>
        <w:rPr>
          <w:rFonts w:ascii="仿宋_GB2312" w:eastAsia="仿宋_GB2312" w:hAnsi="黑体" w:cs="Times New Roman"/>
          <w:sz w:val="32"/>
          <w:szCs w:val="32"/>
        </w:rPr>
        <w:t>征求意见稿</w:t>
      </w:r>
      <w:r>
        <w:rPr>
          <w:rFonts w:ascii="仿宋_GB2312" w:eastAsia="仿宋_GB2312" w:hAnsi="黑体" w:cs="Times New Roman" w:hint="eastAsia"/>
          <w:sz w:val="32"/>
          <w:szCs w:val="32"/>
        </w:rPr>
        <w:t>）》（以下简称《实施方案》）。</w:t>
      </w:r>
    </w:p>
    <w:p w14:paraId="313010FD" w14:textId="77777777" w:rsidR="002D4518" w:rsidRDefault="00884C0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三、《实施方案》主要内容</w:t>
      </w:r>
    </w:p>
    <w:p w14:paraId="1C0875C8" w14:textId="77777777" w:rsidR="002D4518" w:rsidRDefault="00884C0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《实施方案》聚焦</w:t>
      </w:r>
      <w:r>
        <w:rPr>
          <w:rFonts w:ascii="仿宋_GB2312" w:eastAsia="仿宋_GB2312" w:hint="eastAsia"/>
          <w:sz w:val="32"/>
          <w:szCs w:val="32"/>
        </w:rPr>
        <w:t>强化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ESG</w:t>
      </w:r>
      <w:r>
        <w:rPr>
          <w:rFonts w:ascii="仿宋_GB2312" w:eastAsia="仿宋_GB2312" w:hint="eastAsia"/>
          <w:sz w:val="32"/>
          <w:szCs w:val="32"/>
        </w:rPr>
        <w:t>信息披露、加强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ESG</w:t>
      </w:r>
      <w:r>
        <w:rPr>
          <w:rFonts w:ascii="仿宋_GB2312" w:eastAsia="仿宋_GB2312" w:hint="eastAsia"/>
          <w:sz w:val="32"/>
          <w:szCs w:val="32"/>
        </w:rPr>
        <w:t>生态体系建设、支持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ESG</w:t>
      </w:r>
      <w:r>
        <w:rPr>
          <w:rFonts w:ascii="仿宋_GB2312" w:eastAsia="仿宋_GB2312" w:hint="eastAsia"/>
          <w:sz w:val="32"/>
          <w:szCs w:val="32"/>
        </w:rPr>
        <w:t>评级体系高水平特色化发展、丰富和深化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ESG</w:t>
      </w:r>
      <w:r>
        <w:rPr>
          <w:rFonts w:ascii="仿宋_GB2312" w:eastAsia="仿宋_GB2312" w:hint="eastAsia"/>
          <w:sz w:val="32"/>
          <w:szCs w:val="32"/>
        </w:rPr>
        <w:t>实践、试点示范和构建科学有效监管</w:t>
      </w:r>
      <w:r>
        <w:rPr>
          <w:rFonts w:ascii="仿宋_GB2312" w:eastAsia="仿宋_GB2312" w:hAnsi="仿宋_GB2312" w:cs="仿宋_GB2312" w:hint="eastAsia"/>
          <w:sz w:val="32"/>
          <w:szCs w:val="32"/>
        </w:rPr>
        <w:t>六个方面，提出20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条具体举措。主要包括：</w:t>
      </w:r>
    </w:p>
    <w:p w14:paraId="0B9B3228" w14:textId="77777777" w:rsidR="002D4518" w:rsidRDefault="00884C0E">
      <w:pPr>
        <w:tabs>
          <w:tab w:val="left" w:pos="630"/>
        </w:tabs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  （一）强化ESG信息披露</w:t>
      </w:r>
      <w:bookmarkStart w:id="0" w:name="_Hlk144700653"/>
    </w:p>
    <w:p w14:paraId="5BDFDA5B" w14:textId="77777777" w:rsidR="002D4518" w:rsidRDefault="00884C0E">
      <w:pPr>
        <w:tabs>
          <w:tab w:val="left" w:pos="630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int="eastAsia"/>
          <w:bCs/>
          <w:sz w:val="32"/>
          <w:szCs w:val="32"/>
        </w:rPr>
        <w:t>从</w:t>
      </w:r>
      <w:r>
        <w:rPr>
          <w:rFonts w:ascii="仿宋_GB2312" w:eastAsia="仿宋_GB2312" w:hAnsi="楷体_GB2312" w:cs="楷体_GB2312" w:hint="eastAsia"/>
          <w:sz w:val="32"/>
          <w:szCs w:val="32"/>
        </w:rPr>
        <w:t>建立完善本市</w:t>
      </w:r>
      <w:r>
        <w:rPr>
          <w:rFonts w:ascii="仿宋_GB2312" w:eastAsia="仿宋_GB2312" w:hAnsi="楷体_GB2312" w:cs="楷体_GB2312"/>
          <w:sz w:val="32"/>
          <w:szCs w:val="32"/>
        </w:rPr>
        <w:t>ESG信息披露标准</w:t>
      </w:r>
      <w:bookmarkEnd w:id="0"/>
      <w:r>
        <w:rPr>
          <w:rFonts w:ascii="仿宋_GB2312" w:eastAsia="仿宋_GB2312" w:hAnsi="楷体_GB2312" w:cs="楷体_GB2312" w:hint="eastAsia"/>
          <w:sz w:val="32"/>
          <w:szCs w:val="32"/>
        </w:rPr>
        <w:t>体系、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积极支持企业进行E</w:t>
      </w:r>
      <w:r>
        <w:rPr>
          <w:rFonts w:ascii="仿宋_GB2312" w:eastAsia="仿宋_GB2312" w:hAnsi="楷体_GB2312" w:cs="楷体_GB2312"/>
          <w:bCs/>
          <w:sz w:val="32"/>
          <w:szCs w:val="32"/>
        </w:rPr>
        <w:t>SG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信息披露、</w:t>
      </w:r>
      <w:r>
        <w:rPr>
          <w:rFonts w:ascii="仿宋_GB2312" w:eastAsia="仿宋_GB2312" w:hAnsi="黑体" w:hint="eastAsia"/>
          <w:bCs/>
          <w:sz w:val="32"/>
          <w:szCs w:val="32"/>
        </w:rPr>
        <w:t>加大重点领域信息披露力度、</w:t>
      </w:r>
      <w:r>
        <w:rPr>
          <w:rFonts w:ascii="仿宋_GB2312" w:eastAsia="仿宋_GB2312" w:hAnsi="楷体_GB2312" w:cs="楷体_GB2312" w:hint="eastAsia"/>
          <w:sz w:val="32"/>
          <w:szCs w:val="32"/>
        </w:rPr>
        <w:t>逐步建立</w:t>
      </w:r>
      <w:r>
        <w:rPr>
          <w:rFonts w:ascii="仿宋_GB2312" w:eastAsia="仿宋_GB2312" w:hAnsi="黑体" w:hint="eastAsia"/>
          <w:sz w:val="32"/>
          <w:szCs w:val="32"/>
        </w:rPr>
        <w:t>信息披露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鉴证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制度等方面加强ESG信息披露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5C8CD3F" w14:textId="77777777" w:rsidR="002D4518" w:rsidRDefault="00884C0E">
      <w:pPr>
        <w:spacing w:line="560" w:lineRule="exact"/>
        <w:ind w:leftChars="200" w:left="42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（二）加强本市ESG生态体系建设</w:t>
      </w:r>
    </w:p>
    <w:p w14:paraId="7376AAD9" w14:textId="77777777" w:rsidR="002D4518" w:rsidRDefault="00884C0E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从加强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经营主体ESG管理能力建设、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提高公共</w:t>
      </w:r>
      <w:r>
        <w:rPr>
          <w:rFonts w:ascii="仿宋_GB2312" w:eastAsia="仿宋_GB2312" w:hAnsi="黑体" w:hint="eastAsia"/>
          <w:sz w:val="32"/>
          <w:szCs w:val="32"/>
        </w:rPr>
        <w:t>ESG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数据搜寻便利性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、支持设立投资基金、推动设立北京市ESG学会组织、打造高端交流平台等方面加强生态体系建设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2A85332E" w14:textId="77777777" w:rsidR="002D4518" w:rsidRDefault="00884C0E">
      <w:pPr>
        <w:tabs>
          <w:tab w:val="left" w:pos="630"/>
        </w:tabs>
        <w:spacing w:line="56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  （三）支持ESG评级体系高水平特色化发展</w:t>
      </w:r>
    </w:p>
    <w:p w14:paraId="5309385D" w14:textId="77777777" w:rsidR="002D4518" w:rsidRDefault="00884C0E">
      <w:pPr>
        <w:tabs>
          <w:tab w:val="left" w:pos="63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推动建立体现中国特色、北京特点、国际可比的ESG评级体系，</w:t>
      </w:r>
      <w:r>
        <w:rPr>
          <w:rFonts w:ascii="仿宋_GB2312" w:eastAsia="仿宋_GB2312" w:hAnsi="黑体" w:hint="eastAsia"/>
          <w:sz w:val="32"/>
          <w:szCs w:val="32"/>
        </w:rPr>
        <w:t>持续提升评级机构专业能力、评级质量，确保独立性、专业性和公正性，培育壮大</w:t>
      </w:r>
      <w:r>
        <w:rPr>
          <w:rFonts w:ascii="仿宋_GB2312" w:eastAsia="仿宋_GB2312" w:cs="仿宋_GB2312" w:hint="eastAsia"/>
          <w:sz w:val="32"/>
          <w:szCs w:val="32"/>
        </w:rPr>
        <w:t>具有北京特色、</w:t>
      </w:r>
      <w:r>
        <w:rPr>
          <w:rFonts w:ascii="仿宋_GB2312" w:eastAsia="仿宋_GB2312" w:hAnsi="黑体" w:hint="eastAsia"/>
          <w:sz w:val="32"/>
          <w:szCs w:val="32"/>
        </w:rPr>
        <w:t>国内领先、国际一流的ESG评级机构,促进投资人开展ESG投资。</w:t>
      </w:r>
      <w:r>
        <w:rPr>
          <w:rFonts w:ascii="仿宋_GB2312" w:eastAsia="仿宋_GB2312" w:cs="仿宋_GB2312" w:hint="eastAsia"/>
          <w:sz w:val="32"/>
          <w:szCs w:val="32"/>
        </w:rPr>
        <w:t>鼓励</w:t>
      </w:r>
      <w:r>
        <w:rPr>
          <w:rFonts w:ascii="仿宋_GB2312" w:eastAsia="仿宋_GB2312" w:hAnsi="黑体" w:hint="eastAsia"/>
          <w:sz w:val="32"/>
          <w:szCs w:val="32"/>
        </w:rPr>
        <w:t>ESG</w:t>
      </w:r>
      <w:r>
        <w:rPr>
          <w:rFonts w:ascii="仿宋_GB2312" w:eastAsia="仿宋_GB2312" w:cs="仿宋_GB2312" w:hint="eastAsia"/>
          <w:sz w:val="32"/>
          <w:szCs w:val="32"/>
        </w:rPr>
        <w:t>评级机构建立行业联盟，加强</w:t>
      </w:r>
      <w:r>
        <w:rPr>
          <w:rFonts w:ascii="仿宋_GB2312" w:eastAsia="仿宋_GB2312" w:cs="仿宋_GB2312"/>
          <w:sz w:val="32"/>
          <w:szCs w:val="32"/>
        </w:rPr>
        <w:t>ESG</w:t>
      </w:r>
      <w:r>
        <w:rPr>
          <w:rFonts w:ascii="仿宋_GB2312" w:eastAsia="仿宋_GB2312" w:cs="仿宋_GB2312" w:hint="eastAsia"/>
          <w:sz w:val="32"/>
          <w:szCs w:val="32"/>
        </w:rPr>
        <w:t>评级国际交流合作。</w:t>
      </w:r>
    </w:p>
    <w:p w14:paraId="23C41AA8" w14:textId="77777777" w:rsidR="002D4518" w:rsidRDefault="00884C0E">
      <w:pPr>
        <w:spacing w:line="560" w:lineRule="exact"/>
        <w:ind w:leftChars="200" w:left="42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（四）丰富和深化ESG实践</w:t>
      </w:r>
    </w:p>
    <w:p w14:paraId="353F74D3" w14:textId="77777777" w:rsidR="002D4518" w:rsidRDefault="00884C0E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bCs/>
          <w:sz w:val="32"/>
          <w:szCs w:val="32"/>
        </w:rPr>
        <w:t xml:space="preserve">    从</w:t>
      </w:r>
      <w:r>
        <w:rPr>
          <w:rFonts w:ascii="仿宋_GB2312" w:eastAsia="仿宋_GB2312" w:hAnsi="楷体_GB2312" w:cs="楷体_GB2312" w:hint="eastAsia"/>
          <w:sz w:val="32"/>
          <w:szCs w:val="32"/>
        </w:rPr>
        <w:t>探索ESG在政府投资、政府采购领域的应用，</w:t>
      </w:r>
      <w:r>
        <w:rPr>
          <w:rFonts w:ascii="仿宋_GB2312" w:eastAsia="仿宋_GB2312" w:hAnsi="黑体" w:hint="eastAsia"/>
          <w:bCs/>
          <w:sz w:val="32"/>
          <w:szCs w:val="32"/>
        </w:rPr>
        <w:t>促进</w:t>
      </w:r>
      <w:r>
        <w:rPr>
          <w:rFonts w:ascii="仿宋_GB2312" w:eastAsia="仿宋_GB2312" w:hAnsi="黑体"/>
          <w:bCs/>
          <w:sz w:val="32"/>
          <w:szCs w:val="32"/>
        </w:rPr>
        <w:t>ESG</w:t>
      </w:r>
      <w:r>
        <w:rPr>
          <w:rFonts w:ascii="仿宋_GB2312" w:eastAsia="仿宋_GB2312" w:hAnsi="黑体" w:hint="eastAsia"/>
          <w:bCs/>
          <w:sz w:val="32"/>
          <w:szCs w:val="32"/>
        </w:rPr>
        <w:t>投融资实践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bCs/>
          <w:sz w:val="32"/>
          <w:szCs w:val="32"/>
        </w:rPr>
        <w:t>支持北交所上市公司ESG建设，</w:t>
      </w:r>
      <w:r>
        <w:rPr>
          <w:rFonts w:ascii="仿宋_GB2312" w:eastAsia="仿宋_GB2312" w:hAnsi="楷体_GB2312" w:cs="楷体_GB2312" w:hint="eastAsia"/>
          <w:sz w:val="32"/>
          <w:szCs w:val="32"/>
        </w:rPr>
        <w:t>促进京津冀ESG协同发展等方面促进</w:t>
      </w:r>
      <w:r>
        <w:rPr>
          <w:rFonts w:ascii="仿宋_GB2312" w:eastAsia="仿宋_GB2312" w:hAnsi="方正仿宋_GB2312" w:cs="方正仿宋_GB2312" w:hint="eastAsia"/>
          <w:bCs/>
          <w:sz w:val="32"/>
          <w:szCs w:val="32"/>
        </w:rPr>
        <w:t>ESG</w:t>
      </w:r>
      <w:r>
        <w:rPr>
          <w:rFonts w:ascii="仿宋_GB2312" w:eastAsia="仿宋_GB2312" w:hAnsi="楷体_GB2312" w:cs="楷体_GB2312" w:hint="eastAsia"/>
          <w:sz w:val="32"/>
          <w:szCs w:val="32"/>
        </w:rPr>
        <w:t>实践和发展。</w:t>
      </w:r>
    </w:p>
    <w:p w14:paraId="5E719BAA" w14:textId="77777777" w:rsidR="002D4518" w:rsidRDefault="00884C0E">
      <w:pPr>
        <w:tabs>
          <w:tab w:val="left" w:pos="630"/>
        </w:tabs>
        <w:spacing w:line="56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  （五）推动ESG试点示范</w:t>
      </w:r>
    </w:p>
    <w:p w14:paraId="476DC0DE" w14:textId="77777777" w:rsidR="002D4518" w:rsidRDefault="00884C0E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 xml:space="preserve">    支持城市副中心开展</w:t>
      </w:r>
      <w:r>
        <w:rPr>
          <w:rFonts w:ascii="仿宋_GB2312" w:eastAsia="仿宋_GB2312" w:hAnsi="黑体"/>
          <w:bCs/>
          <w:sz w:val="32"/>
          <w:szCs w:val="32"/>
        </w:rPr>
        <w:t>ESG创新发展试点</w:t>
      </w:r>
      <w:r>
        <w:rPr>
          <w:rFonts w:ascii="仿宋_GB2312" w:eastAsia="仿宋_GB2312" w:hAnsi="黑体" w:hint="eastAsia"/>
          <w:bCs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充分发挥北京城市副中心国家绿色发展示范区带动效应，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</w:t>
      </w:r>
      <w:r>
        <w:rPr>
          <w:rFonts w:ascii="仿宋_GB2312" w:eastAsia="仿宋_GB2312" w:hAnsi="黑体" w:hint="eastAsia"/>
          <w:bCs/>
          <w:sz w:val="32"/>
          <w:szCs w:val="32"/>
        </w:rPr>
        <w:t>企业</w:t>
      </w:r>
      <w:r>
        <w:rPr>
          <w:rFonts w:ascii="仿宋_GB2312" w:eastAsia="仿宋_GB2312" w:hAnsi="黑体"/>
          <w:bCs/>
          <w:sz w:val="32"/>
          <w:szCs w:val="32"/>
        </w:rPr>
        <w:t>ESG信息披露、企业ESG治理等数字化产品创新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支持丰台区发展</w:t>
      </w:r>
      <w:r>
        <w:rPr>
          <w:rFonts w:ascii="仿宋_GB2312" w:eastAsia="仿宋_GB2312"/>
          <w:sz w:val="32"/>
          <w:szCs w:val="32"/>
        </w:rPr>
        <w:t>ESG</w:t>
      </w:r>
      <w:r>
        <w:rPr>
          <w:rFonts w:ascii="仿宋_GB2312" w:eastAsia="仿宋_GB2312" w:hint="eastAsia"/>
          <w:sz w:val="32"/>
          <w:szCs w:val="32"/>
        </w:rPr>
        <w:t>服务生态试点。积极吸引一批国际知名律师事务所、ESG</w:t>
      </w:r>
      <w:r>
        <w:rPr>
          <w:rFonts w:ascii="仿宋_GB2312" w:eastAsia="仿宋_GB2312" w:hint="eastAsia"/>
          <w:sz w:val="32"/>
          <w:szCs w:val="32"/>
        </w:rPr>
        <w:lastRenderedPageBreak/>
        <w:t>评级机构和</w:t>
      </w:r>
      <w:proofErr w:type="gramStart"/>
      <w:r>
        <w:rPr>
          <w:rFonts w:ascii="仿宋_GB2312" w:eastAsia="仿宋_GB2312" w:hint="eastAsia"/>
          <w:sz w:val="32"/>
          <w:szCs w:val="32"/>
        </w:rPr>
        <w:t>鉴证</w:t>
      </w:r>
      <w:proofErr w:type="gramEnd"/>
      <w:r>
        <w:rPr>
          <w:rFonts w:ascii="仿宋_GB2312" w:eastAsia="仿宋_GB2312" w:hint="eastAsia"/>
          <w:sz w:val="32"/>
          <w:szCs w:val="32"/>
        </w:rPr>
        <w:t>机构等，</w:t>
      </w:r>
      <w:r>
        <w:rPr>
          <w:rFonts w:ascii="仿宋_GB2312" w:eastAsia="仿宋_GB2312"/>
          <w:sz w:val="32"/>
          <w:szCs w:val="32"/>
          <w:lang w:val="en"/>
        </w:rPr>
        <w:t>完善</w:t>
      </w:r>
      <w:r>
        <w:rPr>
          <w:rFonts w:ascii="仿宋_GB2312" w:eastAsia="仿宋_GB2312" w:hint="eastAsia"/>
          <w:sz w:val="32"/>
          <w:szCs w:val="32"/>
        </w:rPr>
        <w:t>ESG披露、</w:t>
      </w:r>
      <w:proofErr w:type="gramStart"/>
      <w:r>
        <w:rPr>
          <w:rFonts w:ascii="仿宋_GB2312" w:eastAsia="仿宋_GB2312" w:hint="eastAsia"/>
          <w:sz w:val="32"/>
          <w:szCs w:val="32"/>
        </w:rPr>
        <w:t>鉴证</w:t>
      </w:r>
      <w:proofErr w:type="gramEnd"/>
      <w:r>
        <w:rPr>
          <w:rFonts w:ascii="仿宋_GB2312" w:eastAsia="仿宋_GB2312" w:hint="eastAsia"/>
          <w:sz w:val="32"/>
          <w:szCs w:val="32"/>
        </w:rPr>
        <w:t>、战略、法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等生态服务链。</w:t>
      </w:r>
    </w:p>
    <w:p w14:paraId="588CE501" w14:textId="77777777" w:rsidR="002D4518" w:rsidRDefault="00884C0E">
      <w:pPr>
        <w:tabs>
          <w:tab w:val="left" w:pos="630"/>
        </w:tabs>
        <w:spacing w:line="56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  （六）构建科学有效的监管体系</w:t>
      </w:r>
    </w:p>
    <w:p w14:paraId="303A47D5" w14:textId="77777777" w:rsidR="002D4518" w:rsidRDefault="00884C0E">
      <w:pPr>
        <w:tabs>
          <w:tab w:val="left" w:pos="655"/>
        </w:tabs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sz w:val="32"/>
          <w:szCs w:val="32"/>
        </w:rPr>
        <w:t xml:space="preserve">    加强监管政策制度体系建设。</w:t>
      </w:r>
      <w:r>
        <w:rPr>
          <w:rFonts w:ascii="仿宋_GB2312" w:eastAsia="仿宋_GB2312" w:hAnsi="黑体" w:hint="eastAsia"/>
          <w:sz w:val="32"/>
          <w:szCs w:val="32"/>
        </w:rPr>
        <w:t>推进在环境、社会、治理三个维度的监管协调，</w:t>
      </w:r>
      <w:r>
        <w:rPr>
          <w:rFonts w:ascii="仿宋_GB2312" w:eastAsia="仿宋_GB2312" w:hAnsi="楷体_GB2312" w:cs="楷体_GB2312" w:hint="eastAsia"/>
          <w:sz w:val="32"/>
          <w:szCs w:val="32"/>
        </w:rPr>
        <w:t>推动ESG领域监管信息共享,</w:t>
      </w:r>
      <w:r>
        <w:rPr>
          <w:rFonts w:ascii="仿宋_GB2312" w:eastAsia="仿宋_GB2312" w:hAnsi="黑体" w:hint="eastAsia"/>
          <w:sz w:val="32"/>
          <w:szCs w:val="32"/>
        </w:rPr>
        <w:t>形成监管合力。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加强行业自律。</w:t>
      </w:r>
      <w:r>
        <w:rPr>
          <w:rFonts w:ascii="仿宋_GB2312" w:eastAsia="仿宋_GB2312" w:hAnsi="楷体_GB2312" w:cs="楷体_GB2312" w:hint="eastAsia"/>
          <w:sz w:val="32"/>
          <w:szCs w:val="32"/>
        </w:rPr>
        <w:t>鼓励行业协会、产业联盟等机构加强</w:t>
      </w:r>
      <w:r>
        <w:rPr>
          <w:rFonts w:ascii="仿宋_GB2312" w:eastAsia="仿宋_GB2312" w:hAnsi="楷体_GB2312" w:cs="楷体_GB2312" w:hint="eastAsia"/>
          <w:bCs/>
          <w:sz w:val="32"/>
          <w:szCs w:val="32"/>
        </w:rPr>
        <w:t>行业自律，</w:t>
      </w:r>
      <w:r>
        <w:rPr>
          <w:rFonts w:ascii="仿宋_GB2312" w:eastAsia="仿宋_GB2312" w:hAnsi="楷体_GB2312" w:cs="楷体_GB2312" w:hint="eastAsia"/>
          <w:sz w:val="32"/>
          <w:szCs w:val="32"/>
        </w:rPr>
        <w:t>加强对评级机构和咨询机构的宣传和培训，</w:t>
      </w:r>
      <w:r>
        <w:rPr>
          <w:rFonts w:ascii="仿宋_GB2312" w:eastAsia="仿宋_GB2312" w:hAnsi="黑体" w:hint="eastAsia"/>
          <w:sz w:val="32"/>
          <w:szCs w:val="32"/>
        </w:rPr>
        <w:t>引导行业机构自律经营、稳健发展。</w:t>
      </w:r>
    </w:p>
    <w:p w14:paraId="46E28282" w14:textId="77777777" w:rsidR="002D4518" w:rsidRDefault="002D45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2D451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90F3C" w14:textId="77777777" w:rsidR="0017033B" w:rsidRDefault="0017033B">
      <w:r>
        <w:separator/>
      </w:r>
    </w:p>
  </w:endnote>
  <w:endnote w:type="continuationSeparator" w:id="0">
    <w:p w14:paraId="39443366" w14:textId="77777777" w:rsidR="0017033B" w:rsidRDefault="0017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方正仿宋_GBK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3846595"/>
    </w:sdtPr>
    <w:sdtContent>
      <w:p w14:paraId="38205387" w14:textId="77777777" w:rsidR="002D4518" w:rsidRDefault="00884C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949" w:rsidRPr="003E0949">
          <w:rPr>
            <w:noProof/>
            <w:lang w:val="zh-CN"/>
          </w:rPr>
          <w:t>3</w:t>
        </w:r>
        <w:r>
          <w:fldChar w:fldCharType="end"/>
        </w:r>
      </w:p>
    </w:sdtContent>
  </w:sdt>
  <w:p w14:paraId="4B313DFB" w14:textId="77777777" w:rsidR="002D4518" w:rsidRDefault="002D45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DD54D" w14:textId="77777777" w:rsidR="0017033B" w:rsidRDefault="0017033B">
      <w:r>
        <w:separator/>
      </w:r>
    </w:p>
  </w:footnote>
  <w:footnote w:type="continuationSeparator" w:id="0">
    <w:p w14:paraId="0CC28769" w14:textId="77777777" w:rsidR="0017033B" w:rsidRDefault="00170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92"/>
    <w:rsid w:val="9CDFD170"/>
    <w:rsid w:val="DFD7AB75"/>
    <w:rsid w:val="E6FE3DF9"/>
    <w:rsid w:val="F4FC7303"/>
    <w:rsid w:val="FFFD981B"/>
    <w:rsid w:val="0000286E"/>
    <w:rsid w:val="0001146A"/>
    <w:rsid w:val="000241D9"/>
    <w:rsid w:val="000306C1"/>
    <w:rsid w:val="00030EDB"/>
    <w:rsid w:val="00031BE0"/>
    <w:rsid w:val="00036127"/>
    <w:rsid w:val="00036A48"/>
    <w:rsid w:val="0004071B"/>
    <w:rsid w:val="00041197"/>
    <w:rsid w:val="000474F5"/>
    <w:rsid w:val="00054F13"/>
    <w:rsid w:val="00061214"/>
    <w:rsid w:val="000622FD"/>
    <w:rsid w:val="00062AF4"/>
    <w:rsid w:val="000667E7"/>
    <w:rsid w:val="000673B2"/>
    <w:rsid w:val="0007261C"/>
    <w:rsid w:val="00072F92"/>
    <w:rsid w:val="00073E6B"/>
    <w:rsid w:val="00074023"/>
    <w:rsid w:val="0008000C"/>
    <w:rsid w:val="0008195C"/>
    <w:rsid w:val="00082A12"/>
    <w:rsid w:val="00085884"/>
    <w:rsid w:val="00085BB0"/>
    <w:rsid w:val="00091500"/>
    <w:rsid w:val="0009242C"/>
    <w:rsid w:val="00092E4A"/>
    <w:rsid w:val="0009373B"/>
    <w:rsid w:val="0009466A"/>
    <w:rsid w:val="000A12A7"/>
    <w:rsid w:val="000A32B9"/>
    <w:rsid w:val="000A3F6A"/>
    <w:rsid w:val="000A6671"/>
    <w:rsid w:val="000B17D1"/>
    <w:rsid w:val="000B4382"/>
    <w:rsid w:val="000B6882"/>
    <w:rsid w:val="000B6B3A"/>
    <w:rsid w:val="000C0129"/>
    <w:rsid w:val="000C0C6A"/>
    <w:rsid w:val="000C21FF"/>
    <w:rsid w:val="000C56BA"/>
    <w:rsid w:val="000D1830"/>
    <w:rsid w:val="000D4C7E"/>
    <w:rsid w:val="000D6A4A"/>
    <w:rsid w:val="000E52BA"/>
    <w:rsid w:val="000F0DA2"/>
    <w:rsid w:val="000F2124"/>
    <w:rsid w:val="000F3C54"/>
    <w:rsid w:val="000F46D5"/>
    <w:rsid w:val="0010118F"/>
    <w:rsid w:val="001043D2"/>
    <w:rsid w:val="0013196D"/>
    <w:rsid w:val="001334D5"/>
    <w:rsid w:val="00145E95"/>
    <w:rsid w:val="00146450"/>
    <w:rsid w:val="00147AD8"/>
    <w:rsid w:val="00154ADC"/>
    <w:rsid w:val="00156E55"/>
    <w:rsid w:val="00156F42"/>
    <w:rsid w:val="00157B22"/>
    <w:rsid w:val="001630DF"/>
    <w:rsid w:val="00165977"/>
    <w:rsid w:val="0017033B"/>
    <w:rsid w:val="00173F4C"/>
    <w:rsid w:val="0017492A"/>
    <w:rsid w:val="001850F5"/>
    <w:rsid w:val="00186501"/>
    <w:rsid w:val="001932B6"/>
    <w:rsid w:val="0019473F"/>
    <w:rsid w:val="001A075D"/>
    <w:rsid w:val="001A46A2"/>
    <w:rsid w:val="001A5196"/>
    <w:rsid w:val="001A55BB"/>
    <w:rsid w:val="001A73F9"/>
    <w:rsid w:val="001B41C9"/>
    <w:rsid w:val="001C1C60"/>
    <w:rsid w:val="001C42ED"/>
    <w:rsid w:val="001C4CC9"/>
    <w:rsid w:val="001C717D"/>
    <w:rsid w:val="001D0D30"/>
    <w:rsid w:val="001D42C8"/>
    <w:rsid w:val="001D5C4F"/>
    <w:rsid w:val="001D6591"/>
    <w:rsid w:val="001D73DC"/>
    <w:rsid w:val="001E0498"/>
    <w:rsid w:val="001E4217"/>
    <w:rsid w:val="001F4789"/>
    <w:rsid w:val="001F579F"/>
    <w:rsid w:val="0020670E"/>
    <w:rsid w:val="002244D3"/>
    <w:rsid w:val="002273D5"/>
    <w:rsid w:val="00227F5A"/>
    <w:rsid w:val="002310C9"/>
    <w:rsid w:val="002330E9"/>
    <w:rsid w:val="00242D86"/>
    <w:rsid w:val="0024385E"/>
    <w:rsid w:val="00247FE4"/>
    <w:rsid w:val="002520E1"/>
    <w:rsid w:val="002558F6"/>
    <w:rsid w:val="00255CA9"/>
    <w:rsid w:val="00264645"/>
    <w:rsid w:val="00270629"/>
    <w:rsid w:val="00270C42"/>
    <w:rsid w:val="002722FC"/>
    <w:rsid w:val="00272BA2"/>
    <w:rsid w:val="00274AAE"/>
    <w:rsid w:val="00275411"/>
    <w:rsid w:val="00277D08"/>
    <w:rsid w:val="00283F72"/>
    <w:rsid w:val="00284901"/>
    <w:rsid w:val="00291500"/>
    <w:rsid w:val="002945EB"/>
    <w:rsid w:val="00296F10"/>
    <w:rsid w:val="002A2C55"/>
    <w:rsid w:val="002B04C2"/>
    <w:rsid w:val="002B2724"/>
    <w:rsid w:val="002B5D4E"/>
    <w:rsid w:val="002B6FFF"/>
    <w:rsid w:val="002C1D60"/>
    <w:rsid w:val="002C44EB"/>
    <w:rsid w:val="002C4C35"/>
    <w:rsid w:val="002C7044"/>
    <w:rsid w:val="002D4518"/>
    <w:rsid w:val="002E0A17"/>
    <w:rsid w:val="002E469F"/>
    <w:rsid w:val="002E608F"/>
    <w:rsid w:val="002F18B7"/>
    <w:rsid w:val="002F2043"/>
    <w:rsid w:val="002F5606"/>
    <w:rsid w:val="002F66BA"/>
    <w:rsid w:val="003008E8"/>
    <w:rsid w:val="00301758"/>
    <w:rsid w:val="00311BCC"/>
    <w:rsid w:val="003135B5"/>
    <w:rsid w:val="003215E3"/>
    <w:rsid w:val="00322F2B"/>
    <w:rsid w:val="0032527D"/>
    <w:rsid w:val="00325E08"/>
    <w:rsid w:val="00326401"/>
    <w:rsid w:val="00331779"/>
    <w:rsid w:val="00334ABB"/>
    <w:rsid w:val="00341BD6"/>
    <w:rsid w:val="00343761"/>
    <w:rsid w:val="003615E0"/>
    <w:rsid w:val="00367C3C"/>
    <w:rsid w:val="00370FC9"/>
    <w:rsid w:val="00371F6A"/>
    <w:rsid w:val="0037403B"/>
    <w:rsid w:val="003748F0"/>
    <w:rsid w:val="003755C3"/>
    <w:rsid w:val="00381352"/>
    <w:rsid w:val="003825EA"/>
    <w:rsid w:val="003A23F0"/>
    <w:rsid w:val="003A2746"/>
    <w:rsid w:val="003A68A2"/>
    <w:rsid w:val="003B169A"/>
    <w:rsid w:val="003B49E0"/>
    <w:rsid w:val="003C64F2"/>
    <w:rsid w:val="003D2D72"/>
    <w:rsid w:val="003D76EA"/>
    <w:rsid w:val="003E0949"/>
    <w:rsid w:val="003E21C8"/>
    <w:rsid w:val="003E4021"/>
    <w:rsid w:val="003E5958"/>
    <w:rsid w:val="003F3B8E"/>
    <w:rsid w:val="003F4364"/>
    <w:rsid w:val="003F633B"/>
    <w:rsid w:val="003F6435"/>
    <w:rsid w:val="004045D9"/>
    <w:rsid w:val="004137D0"/>
    <w:rsid w:val="004209E8"/>
    <w:rsid w:val="00422CFF"/>
    <w:rsid w:val="00423D0A"/>
    <w:rsid w:val="00424466"/>
    <w:rsid w:val="00435AF6"/>
    <w:rsid w:val="00437682"/>
    <w:rsid w:val="0044274D"/>
    <w:rsid w:val="0045474D"/>
    <w:rsid w:val="004561BD"/>
    <w:rsid w:val="00456AD8"/>
    <w:rsid w:val="00463DD0"/>
    <w:rsid w:val="00464923"/>
    <w:rsid w:val="00464C2D"/>
    <w:rsid w:val="00465A6D"/>
    <w:rsid w:val="00465D31"/>
    <w:rsid w:val="00471237"/>
    <w:rsid w:val="00472F7A"/>
    <w:rsid w:val="00476E1C"/>
    <w:rsid w:val="004824B9"/>
    <w:rsid w:val="00487AFB"/>
    <w:rsid w:val="00492F1D"/>
    <w:rsid w:val="00497FD2"/>
    <w:rsid w:val="004A6B29"/>
    <w:rsid w:val="004B6DBB"/>
    <w:rsid w:val="004D30E0"/>
    <w:rsid w:val="004D6DC5"/>
    <w:rsid w:val="004E46BA"/>
    <w:rsid w:val="004F600C"/>
    <w:rsid w:val="004F63A4"/>
    <w:rsid w:val="00501B97"/>
    <w:rsid w:val="00517B80"/>
    <w:rsid w:val="00520FEC"/>
    <w:rsid w:val="00534884"/>
    <w:rsid w:val="00536A73"/>
    <w:rsid w:val="0055207B"/>
    <w:rsid w:val="0055381C"/>
    <w:rsid w:val="00557C1B"/>
    <w:rsid w:val="00557DFA"/>
    <w:rsid w:val="00561ADA"/>
    <w:rsid w:val="00571A42"/>
    <w:rsid w:val="00571E8B"/>
    <w:rsid w:val="00575DCD"/>
    <w:rsid w:val="00575F31"/>
    <w:rsid w:val="00581F77"/>
    <w:rsid w:val="0058337B"/>
    <w:rsid w:val="005834B7"/>
    <w:rsid w:val="00585F3C"/>
    <w:rsid w:val="00587507"/>
    <w:rsid w:val="00587632"/>
    <w:rsid w:val="005907F9"/>
    <w:rsid w:val="005913BD"/>
    <w:rsid w:val="00595E07"/>
    <w:rsid w:val="005A00B1"/>
    <w:rsid w:val="005A2E03"/>
    <w:rsid w:val="005A46EA"/>
    <w:rsid w:val="005A6817"/>
    <w:rsid w:val="005C21E1"/>
    <w:rsid w:val="005C28D9"/>
    <w:rsid w:val="005C3DD9"/>
    <w:rsid w:val="005C537E"/>
    <w:rsid w:val="005D1533"/>
    <w:rsid w:val="005D18A4"/>
    <w:rsid w:val="005E197C"/>
    <w:rsid w:val="005F1C4F"/>
    <w:rsid w:val="0060190A"/>
    <w:rsid w:val="006028D0"/>
    <w:rsid w:val="00602BEC"/>
    <w:rsid w:val="006133B8"/>
    <w:rsid w:val="00614BB3"/>
    <w:rsid w:val="00624006"/>
    <w:rsid w:val="0064390E"/>
    <w:rsid w:val="00643EF5"/>
    <w:rsid w:val="006471A0"/>
    <w:rsid w:val="00647DBF"/>
    <w:rsid w:val="00650F40"/>
    <w:rsid w:val="006557D5"/>
    <w:rsid w:val="00665F90"/>
    <w:rsid w:val="00666077"/>
    <w:rsid w:val="00667574"/>
    <w:rsid w:val="00670625"/>
    <w:rsid w:val="00680F18"/>
    <w:rsid w:val="00681CF8"/>
    <w:rsid w:val="0068372F"/>
    <w:rsid w:val="00691C9F"/>
    <w:rsid w:val="00692091"/>
    <w:rsid w:val="006939B1"/>
    <w:rsid w:val="006A1067"/>
    <w:rsid w:val="006A186B"/>
    <w:rsid w:val="006A462C"/>
    <w:rsid w:val="006B7679"/>
    <w:rsid w:val="006C1B3F"/>
    <w:rsid w:val="006C2AF0"/>
    <w:rsid w:val="006D4CBF"/>
    <w:rsid w:val="006E05F1"/>
    <w:rsid w:val="006E2070"/>
    <w:rsid w:val="006F0738"/>
    <w:rsid w:val="006F5FF7"/>
    <w:rsid w:val="006F60DC"/>
    <w:rsid w:val="00702722"/>
    <w:rsid w:val="007062F7"/>
    <w:rsid w:val="0071086E"/>
    <w:rsid w:val="0071439C"/>
    <w:rsid w:val="00720852"/>
    <w:rsid w:val="007227CF"/>
    <w:rsid w:val="00722E06"/>
    <w:rsid w:val="00726E41"/>
    <w:rsid w:val="00726FB4"/>
    <w:rsid w:val="00737C42"/>
    <w:rsid w:val="00746B05"/>
    <w:rsid w:val="00755900"/>
    <w:rsid w:val="00756252"/>
    <w:rsid w:val="007616E1"/>
    <w:rsid w:val="00761F1D"/>
    <w:rsid w:val="00764EF9"/>
    <w:rsid w:val="00776D78"/>
    <w:rsid w:val="00781F10"/>
    <w:rsid w:val="007844A6"/>
    <w:rsid w:val="0079774D"/>
    <w:rsid w:val="007A10DF"/>
    <w:rsid w:val="007A1D2B"/>
    <w:rsid w:val="007A3E65"/>
    <w:rsid w:val="007A46ED"/>
    <w:rsid w:val="007A56B3"/>
    <w:rsid w:val="007B3B3C"/>
    <w:rsid w:val="007C695A"/>
    <w:rsid w:val="007D7EC2"/>
    <w:rsid w:val="007E1647"/>
    <w:rsid w:val="007E4D58"/>
    <w:rsid w:val="007E50C6"/>
    <w:rsid w:val="007E6B86"/>
    <w:rsid w:val="007F506C"/>
    <w:rsid w:val="00800338"/>
    <w:rsid w:val="00802AD6"/>
    <w:rsid w:val="00807171"/>
    <w:rsid w:val="0081205A"/>
    <w:rsid w:val="00821529"/>
    <w:rsid w:val="008262EC"/>
    <w:rsid w:val="0082665B"/>
    <w:rsid w:val="0082787C"/>
    <w:rsid w:val="0083092E"/>
    <w:rsid w:val="0083152E"/>
    <w:rsid w:val="008340E8"/>
    <w:rsid w:val="00834C8F"/>
    <w:rsid w:val="0083737B"/>
    <w:rsid w:val="00841E44"/>
    <w:rsid w:val="00842481"/>
    <w:rsid w:val="008473DF"/>
    <w:rsid w:val="008501D0"/>
    <w:rsid w:val="0085386F"/>
    <w:rsid w:val="00853875"/>
    <w:rsid w:val="00861263"/>
    <w:rsid w:val="008675A7"/>
    <w:rsid w:val="00870344"/>
    <w:rsid w:val="00873C8A"/>
    <w:rsid w:val="0087535A"/>
    <w:rsid w:val="00876241"/>
    <w:rsid w:val="00881875"/>
    <w:rsid w:val="00884C0E"/>
    <w:rsid w:val="00885E70"/>
    <w:rsid w:val="0088715D"/>
    <w:rsid w:val="00892458"/>
    <w:rsid w:val="008949F6"/>
    <w:rsid w:val="00895AAD"/>
    <w:rsid w:val="008A55F1"/>
    <w:rsid w:val="008B3271"/>
    <w:rsid w:val="008C210E"/>
    <w:rsid w:val="008C3576"/>
    <w:rsid w:val="008C5912"/>
    <w:rsid w:val="008C7735"/>
    <w:rsid w:val="008F3434"/>
    <w:rsid w:val="008F6A1D"/>
    <w:rsid w:val="008F7AEC"/>
    <w:rsid w:val="008F7FBC"/>
    <w:rsid w:val="00901620"/>
    <w:rsid w:val="00904C2F"/>
    <w:rsid w:val="00915233"/>
    <w:rsid w:val="00920B24"/>
    <w:rsid w:val="009215D9"/>
    <w:rsid w:val="009229FC"/>
    <w:rsid w:val="0093248F"/>
    <w:rsid w:val="00937ACD"/>
    <w:rsid w:val="0094275F"/>
    <w:rsid w:val="00943446"/>
    <w:rsid w:val="00945055"/>
    <w:rsid w:val="0094575C"/>
    <w:rsid w:val="00950F89"/>
    <w:rsid w:val="00951C84"/>
    <w:rsid w:val="00951CCC"/>
    <w:rsid w:val="009558CA"/>
    <w:rsid w:val="00962E2F"/>
    <w:rsid w:val="00964610"/>
    <w:rsid w:val="00966817"/>
    <w:rsid w:val="00970BF7"/>
    <w:rsid w:val="00971FDC"/>
    <w:rsid w:val="00972D11"/>
    <w:rsid w:val="00981A8A"/>
    <w:rsid w:val="00982761"/>
    <w:rsid w:val="00985016"/>
    <w:rsid w:val="00990BA7"/>
    <w:rsid w:val="00990E95"/>
    <w:rsid w:val="00997EA5"/>
    <w:rsid w:val="009A0DDD"/>
    <w:rsid w:val="009A1610"/>
    <w:rsid w:val="009A5C0E"/>
    <w:rsid w:val="009B08D5"/>
    <w:rsid w:val="009B0E1A"/>
    <w:rsid w:val="009B1B76"/>
    <w:rsid w:val="009B7EC6"/>
    <w:rsid w:val="009C0266"/>
    <w:rsid w:val="009C3E06"/>
    <w:rsid w:val="009C46A4"/>
    <w:rsid w:val="009C69A4"/>
    <w:rsid w:val="009E2023"/>
    <w:rsid w:val="009E23A4"/>
    <w:rsid w:val="009E73F5"/>
    <w:rsid w:val="009F4495"/>
    <w:rsid w:val="009F5204"/>
    <w:rsid w:val="009F6C6E"/>
    <w:rsid w:val="00A00A71"/>
    <w:rsid w:val="00A00D11"/>
    <w:rsid w:val="00A11EB1"/>
    <w:rsid w:val="00A166B8"/>
    <w:rsid w:val="00A20C63"/>
    <w:rsid w:val="00A31CF4"/>
    <w:rsid w:val="00A33120"/>
    <w:rsid w:val="00A34B1E"/>
    <w:rsid w:val="00A4090A"/>
    <w:rsid w:val="00A434DD"/>
    <w:rsid w:val="00A44863"/>
    <w:rsid w:val="00A53088"/>
    <w:rsid w:val="00A60695"/>
    <w:rsid w:val="00A62157"/>
    <w:rsid w:val="00A67EEA"/>
    <w:rsid w:val="00A7067B"/>
    <w:rsid w:val="00A729DA"/>
    <w:rsid w:val="00A76EFD"/>
    <w:rsid w:val="00A80DE1"/>
    <w:rsid w:val="00A94A32"/>
    <w:rsid w:val="00AA1ECF"/>
    <w:rsid w:val="00AA2E54"/>
    <w:rsid w:val="00AA5B9E"/>
    <w:rsid w:val="00AB0940"/>
    <w:rsid w:val="00AB1CA7"/>
    <w:rsid w:val="00AB335A"/>
    <w:rsid w:val="00AB7909"/>
    <w:rsid w:val="00AC108D"/>
    <w:rsid w:val="00AC4AE2"/>
    <w:rsid w:val="00AC7B7C"/>
    <w:rsid w:val="00AE1A7D"/>
    <w:rsid w:val="00AE5BF9"/>
    <w:rsid w:val="00AF5D1F"/>
    <w:rsid w:val="00AF7846"/>
    <w:rsid w:val="00B06B33"/>
    <w:rsid w:val="00B10204"/>
    <w:rsid w:val="00B30A08"/>
    <w:rsid w:val="00B33C86"/>
    <w:rsid w:val="00B344B6"/>
    <w:rsid w:val="00B476D8"/>
    <w:rsid w:val="00B47AFF"/>
    <w:rsid w:val="00B5411A"/>
    <w:rsid w:val="00B54B30"/>
    <w:rsid w:val="00B55B4B"/>
    <w:rsid w:val="00B60987"/>
    <w:rsid w:val="00B62024"/>
    <w:rsid w:val="00B64B8C"/>
    <w:rsid w:val="00B66AC1"/>
    <w:rsid w:val="00B729F5"/>
    <w:rsid w:val="00B80FB7"/>
    <w:rsid w:val="00BA13DA"/>
    <w:rsid w:val="00BA4FF1"/>
    <w:rsid w:val="00BA7D51"/>
    <w:rsid w:val="00BB7686"/>
    <w:rsid w:val="00BC0BEB"/>
    <w:rsid w:val="00BC13E4"/>
    <w:rsid w:val="00BC190C"/>
    <w:rsid w:val="00BC2D91"/>
    <w:rsid w:val="00BC2FB8"/>
    <w:rsid w:val="00BC33EB"/>
    <w:rsid w:val="00BC69F4"/>
    <w:rsid w:val="00BC778A"/>
    <w:rsid w:val="00BD1720"/>
    <w:rsid w:val="00BD3CF1"/>
    <w:rsid w:val="00BD56F7"/>
    <w:rsid w:val="00BE3953"/>
    <w:rsid w:val="00BE5902"/>
    <w:rsid w:val="00BE737E"/>
    <w:rsid w:val="00BF2474"/>
    <w:rsid w:val="00BF57E5"/>
    <w:rsid w:val="00BF7175"/>
    <w:rsid w:val="00C00458"/>
    <w:rsid w:val="00C053A2"/>
    <w:rsid w:val="00C06425"/>
    <w:rsid w:val="00C163DC"/>
    <w:rsid w:val="00C22E0D"/>
    <w:rsid w:val="00C25E5D"/>
    <w:rsid w:val="00C26F6E"/>
    <w:rsid w:val="00C30317"/>
    <w:rsid w:val="00C31C73"/>
    <w:rsid w:val="00C323E7"/>
    <w:rsid w:val="00C36746"/>
    <w:rsid w:val="00C40630"/>
    <w:rsid w:val="00C47B00"/>
    <w:rsid w:val="00C47E44"/>
    <w:rsid w:val="00C52FF3"/>
    <w:rsid w:val="00C56911"/>
    <w:rsid w:val="00C61B30"/>
    <w:rsid w:val="00C63630"/>
    <w:rsid w:val="00C645F5"/>
    <w:rsid w:val="00C6513D"/>
    <w:rsid w:val="00C66F93"/>
    <w:rsid w:val="00C67F73"/>
    <w:rsid w:val="00C72681"/>
    <w:rsid w:val="00C819A7"/>
    <w:rsid w:val="00C83FDB"/>
    <w:rsid w:val="00C86F49"/>
    <w:rsid w:val="00C874C6"/>
    <w:rsid w:val="00C87897"/>
    <w:rsid w:val="00C90897"/>
    <w:rsid w:val="00C927B9"/>
    <w:rsid w:val="00C93543"/>
    <w:rsid w:val="00C93A52"/>
    <w:rsid w:val="00C944E7"/>
    <w:rsid w:val="00CA4013"/>
    <w:rsid w:val="00CA421A"/>
    <w:rsid w:val="00CA4F9D"/>
    <w:rsid w:val="00CA71C5"/>
    <w:rsid w:val="00CA7CB7"/>
    <w:rsid w:val="00CB1413"/>
    <w:rsid w:val="00CB3655"/>
    <w:rsid w:val="00CB49EE"/>
    <w:rsid w:val="00CB732F"/>
    <w:rsid w:val="00CC16C8"/>
    <w:rsid w:val="00CD0521"/>
    <w:rsid w:val="00CD113E"/>
    <w:rsid w:val="00CD21F8"/>
    <w:rsid w:val="00CD6DFA"/>
    <w:rsid w:val="00CE56FE"/>
    <w:rsid w:val="00CF1C20"/>
    <w:rsid w:val="00CF2B38"/>
    <w:rsid w:val="00CF4CF6"/>
    <w:rsid w:val="00CF6871"/>
    <w:rsid w:val="00D00A92"/>
    <w:rsid w:val="00D019A2"/>
    <w:rsid w:val="00D0566B"/>
    <w:rsid w:val="00D165DE"/>
    <w:rsid w:val="00D17B5A"/>
    <w:rsid w:val="00D23911"/>
    <w:rsid w:val="00D34948"/>
    <w:rsid w:val="00D35129"/>
    <w:rsid w:val="00D36832"/>
    <w:rsid w:val="00D37420"/>
    <w:rsid w:val="00D44297"/>
    <w:rsid w:val="00D45A25"/>
    <w:rsid w:val="00D47999"/>
    <w:rsid w:val="00D50BE8"/>
    <w:rsid w:val="00D517C9"/>
    <w:rsid w:val="00D55A22"/>
    <w:rsid w:val="00D5797B"/>
    <w:rsid w:val="00D6129B"/>
    <w:rsid w:val="00D63C65"/>
    <w:rsid w:val="00D74ABE"/>
    <w:rsid w:val="00D83302"/>
    <w:rsid w:val="00D83DCC"/>
    <w:rsid w:val="00D843D1"/>
    <w:rsid w:val="00D91684"/>
    <w:rsid w:val="00D944BD"/>
    <w:rsid w:val="00D979B0"/>
    <w:rsid w:val="00DA6BCB"/>
    <w:rsid w:val="00DB7BAA"/>
    <w:rsid w:val="00DC7DCA"/>
    <w:rsid w:val="00DD1C18"/>
    <w:rsid w:val="00DD22D1"/>
    <w:rsid w:val="00DD671B"/>
    <w:rsid w:val="00DE3C2A"/>
    <w:rsid w:val="00DE421B"/>
    <w:rsid w:val="00DE6167"/>
    <w:rsid w:val="00DE77D3"/>
    <w:rsid w:val="00DF5298"/>
    <w:rsid w:val="00DF6E50"/>
    <w:rsid w:val="00E12853"/>
    <w:rsid w:val="00E136CA"/>
    <w:rsid w:val="00E20B65"/>
    <w:rsid w:val="00E223DB"/>
    <w:rsid w:val="00E26901"/>
    <w:rsid w:val="00E30AB0"/>
    <w:rsid w:val="00E32222"/>
    <w:rsid w:val="00E37F9F"/>
    <w:rsid w:val="00E4101D"/>
    <w:rsid w:val="00E41FC9"/>
    <w:rsid w:val="00E42E4D"/>
    <w:rsid w:val="00E44676"/>
    <w:rsid w:val="00E44A11"/>
    <w:rsid w:val="00E472D3"/>
    <w:rsid w:val="00E509A5"/>
    <w:rsid w:val="00E54769"/>
    <w:rsid w:val="00E6071F"/>
    <w:rsid w:val="00E6692F"/>
    <w:rsid w:val="00E7113B"/>
    <w:rsid w:val="00E71C74"/>
    <w:rsid w:val="00E7201E"/>
    <w:rsid w:val="00E73F27"/>
    <w:rsid w:val="00E759E1"/>
    <w:rsid w:val="00E76CD1"/>
    <w:rsid w:val="00E77875"/>
    <w:rsid w:val="00E85606"/>
    <w:rsid w:val="00E92B78"/>
    <w:rsid w:val="00EA14A8"/>
    <w:rsid w:val="00EA3595"/>
    <w:rsid w:val="00EB21A2"/>
    <w:rsid w:val="00EC066A"/>
    <w:rsid w:val="00EC290A"/>
    <w:rsid w:val="00EC3F43"/>
    <w:rsid w:val="00ED304E"/>
    <w:rsid w:val="00EE4172"/>
    <w:rsid w:val="00EF6391"/>
    <w:rsid w:val="00F0134A"/>
    <w:rsid w:val="00F0379A"/>
    <w:rsid w:val="00F06E86"/>
    <w:rsid w:val="00F1129C"/>
    <w:rsid w:val="00F145E0"/>
    <w:rsid w:val="00F220B3"/>
    <w:rsid w:val="00F268AB"/>
    <w:rsid w:val="00F26C93"/>
    <w:rsid w:val="00F303A9"/>
    <w:rsid w:val="00F441E7"/>
    <w:rsid w:val="00F5080E"/>
    <w:rsid w:val="00F5262B"/>
    <w:rsid w:val="00F53B99"/>
    <w:rsid w:val="00F616C4"/>
    <w:rsid w:val="00F6364E"/>
    <w:rsid w:val="00F66A33"/>
    <w:rsid w:val="00F71C2F"/>
    <w:rsid w:val="00F766C7"/>
    <w:rsid w:val="00F82B5C"/>
    <w:rsid w:val="00F84D05"/>
    <w:rsid w:val="00F85E96"/>
    <w:rsid w:val="00F86355"/>
    <w:rsid w:val="00F95F37"/>
    <w:rsid w:val="00F97A1D"/>
    <w:rsid w:val="00FB19E5"/>
    <w:rsid w:val="00FB77E7"/>
    <w:rsid w:val="00FC2E2D"/>
    <w:rsid w:val="00FD4356"/>
    <w:rsid w:val="00FD6617"/>
    <w:rsid w:val="00FE37A7"/>
    <w:rsid w:val="00FF018D"/>
    <w:rsid w:val="00FF47FE"/>
    <w:rsid w:val="00FF73C3"/>
    <w:rsid w:val="7FEFD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5AE8A"/>
  <w15:docId w15:val="{86721125-3C10-459C-B463-51007DCF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qFormat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styleId="ab">
    <w:name w:val="footnote reference"/>
    <w:basedOn w:val="a0"/>
    <w:uiPriority w:val="99"/>
    <w:qFormat/>
    <w:rPr>
      <w:vertAlign w:val="superscript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1046</Characters>
  <Application>Microsoft Office Word</Application>
  <DocSecurity>0</DocSecurity>
  <Lines>8</Lines>
  <Paragraphs>2</Paragraphs>
  <ScaleCrop>false</ScaleCrop>
  <Company>Lenovo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沅芷 曾</cp:lastModifiedBy>
  <cp:revision>2</cp:revision>
  <cp:lastPrinted>2024-02-28T02:55:00Z</cp:lastPrinted>
  <dcterms:created xsi:type="dcterms:W3CDTF">2024-03-30T08:34:00Z</dcterms:created>
  <dcterms:modified xsi:type="dcterms:W3CDTF">2024-03-30T08:34:00Z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